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07BF" w14:textId="75A6E5D7" w:rsidR="004A38AE" w:rsidRDefault="004A38AE" w:rsidP="00467DB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 WG2 Meeting #</w:t>
      </w:r>
      <w:r>
        <w:rPr>
          <w:rFonts w:hint="eastAsia"/>
          <w:b/>
          <w:sz w:val="24"/>
          <w:lang w:val="en-US" w:eastAsia="zh-CN"/>
        </w:rPr>
        <w:t>171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</w:t>
      </w:r>
      <w:r w:rsidR="00AA459D">
        <w:rPr>
          <w:b/>
          <w:bCs/>
          <w:sz w:val="24"/>
        </w:rPr>
        <w:t>9358</w:t>
      </w:r>
    </w:p>
    <w:p w14:paraId="35672259" w14:textId="3AA52302" w:rsidR="004A38AE" w:rsidRDefault="004A38AE" w:rsidP="004A38AE">
      <w:pPr>
        <w:pStyle w:val="CRCoverPage"/>
        <w:tabs>
          <w:tab w:val="right" w:pos="9630"/>
        </w:tabs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13-17 </w:t>
      </w:r>
      <w:r w:rsidR="00AA71FD">
        <w:rPr>
          <w:b/>
          <w:sz w:val="24"/>
          <w:lang w:val="en-US" w:eastAsia="zh-CN"/>
        </w:rPr>
        <w:t>October</w:t>
      </w:r>
      <w:r>
        <w:rPr>
          <w:rFonts w:hint="eastAsia"/>
          <w:b/>
          <w:sz w:val="24"/>
          <w:lang w:val="en-US" w:eastAsia="zh-CN"/>
        </w:rPr>
        <w:t xml:space="preserve"> 2025, Wuhan, China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 w:rsidR="00AA459D" w:rsidRPr="00AA459D">
        <w:rPr>
          <w:b/>
          <w:sz w:val="22"/>
          <w:szCs w:val="18"/>
          <w:lang w:val="en-US" w:eastAsia="zh-CN"/>
        </w:rPr>
        <w:t>S2-2508933</w:t>
      </w:r>
      <w:r w:rsidR="00AA459D">
        <w:rPr>
          <w:b/>
          <w:sz w:val="22"/>
          <w:szCs w:val="18"/>
          <w:lang w:val="en-US" w:eastAsia="zh-CN"/>
        </w:rPr>
        <w:t xml:space="preserve">, </w:t>
      </w:r>
      <w:r>
        <w:rPr>
          <w:b/>
          <w:bCs/>
          <w:sz w:val="22"/>
          <w:szCs w:val="18"/>
        </w:rPr>
        <w:t>S2-250</w:t>
      </w:r>
      <w:r>
        <w:rPr>
          <w:b/>
          <w:bCs/>
          <w:sz w:val="22"/>
          <w:szCs w:val="18"/>
          <w:lang w:val="en-US" w:eastAsia="zh-CN"/>
        </w:rPr>
        <w:t>6458</w:t>
      </w:r>
      <w:r>
        <w:rPr>
          <w:rFonts w:hint="eastAsia"/>
          <w:b/>
          <w:bCs/>
          <w:sz w:val="22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5EC6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DB93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3932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701D8" w:rsidR="001E41F3" w:rsidRPr="004A38AE" w:rsidRDefault="00AA459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F06B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4A38AE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D715D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0615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06151">
              <w:rPr>
                <w:rFonts w:cs="Arial"/>
                <w:b/>
                <w:i/>
                <w:noProof/>
              </w:rPr>
              <w:t>L</w:t>
            </w:r>
            <w:bookmarkEnd w:id="0"/>
            <w:r w:rsidRPr="006061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061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5AF10" w:rsidR="00F25D98" w:rsidRDefault="0047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C9EE60" w:rsidR="00F25D98" w:rsidRDefault="0047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815D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use of the S&amp;F Monitoring List in the split-MME architecture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B007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Sateliot</w:t>
            </w:r>
            <w:r w:rsidR="0047182E">
              <w:rPr>
                <w:noProof/>
              </w:rPr>
              <w:t xml:space="preserve">, </w:t>
            </w:r>
            <w:r w:rsidR="0047182E">
              <w:rPr>
                <w:rFonts w:eastAsia="Arial" w:cs="Arial"/>
                <w:color w:val="000000"/>
              </w:rPr>
              <w:t xml:space="preserve">Thales, </w:t>
            </w:r>
            <w:proofErr w:type="spellStart"/>
            <w:r w:rsidR="0047182E">
              <w:t>Novamint</w:t>
            </w:r>
            <w:proofErr w:type="spellEnd"/>
            <w:r w:rsidR="0047182E">
              <w:t xml:space="preserve">, </w:t>
            </w:r>
            <w:r w:rsidR="0047182E">
              <w:rPr>
                <w:rFonts w:eastAsia="Arial" w:cs="Arial"/>
                <w:color w:val="000000"/>
              </w:rPr>
              <w:t>MediaTek,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90B82" w:rsidR="001E41F3" w:rsidRDefault="00447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7A5A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4CAC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322A5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22A5F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057A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D52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65262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061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BBE96" w14:textId="77777777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 xml:space="preserve">NOTE1 </w:t>
            </w:r>
            <w:r>
              <w:rPr>
                <w:noProof/>
              </w:rPr>
              <w:t xml:space="preserve">in clause O.2 </w:t>
            </w:r>
            <w:r w:rsidRPr="0047182E">
              <w:rPr>
                <w:noProof/>
              </w:rPr>
              <w:t xml:space="preserve">indicates that </w:t>
            </w:r>
            <w:r w:rsidRPr="0047182E">
              <w:rPr>
                <w:i/>
                <w:iCs/>
                <w:noProof/>
              </w:rPr>
              <w:t>based on implementation, the UE context can be uploaded on a subset of MME-onboard(s) or all MME-onboard(s) associated with MME-ground</w:t>
            </w:r>
            <w:r w:rsidRPr="0047182E">
              <w:rPr>
                <w:noProof/>
              </w:rPr>
              <w:t>. The note is extended to clarify the relation between the subset of MME-onboard(s) where the UE context is available and the contents of the S&amp;F Monitoring List.</w:t>
            </w:r>
          </w:p>
          <w:p w14:paraId="51B5F365" w14:textId="77777777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B6524F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47182E">
              <w:rPr>
                <w:noProof/>
              </w:rPr>
              <w:t xml:space="preserve"> extension of NOTE1 is </w:t>
            </w:r>
            <w:r>
              <w:rPr>
                <w:noProof/>
              </w:rPr>
              <w:t>on par</w:t>
            </w:r>
            <w:r w:rsidRPr="0047182E">
              <w:rPr>
                <w:noProof/>
              </w:rPr>
              <w:t xml:space="preserve"> with NOTE2 </w:t>
            </w:r>
            <w:r>
              <w:rPr>
                <w:noProof/>
              </w:rPr>
              <w:t>introduced</w:t>
            </w:r>
            <w:r w:rsidRPr="0047182E">
              <w:rPr>
                <w:noProof/>
              </w:rPr>
              <w:t xml:space="preserve"> in 23.401CR3928, where a related clarification for the </w:t>
            </w:r>
            <w:r>
              <w:rPr>
                <w:noProof/>
              </w:rPr>
              <w:t xml:space="preserve">use of the </w:t>
            </w:r>
            <w:r w:rsidRPr="0047182E">
              <w:rPr>
                <w:noProof/>
              </w:rPr>
              <w:t xml:space="preserve">S&amp;F Wait Timer was included. In this way, the description of the split MME architecture </w:t>
            </w:r>
            <w:r>
              <w:rPr>
                <w:noProof/>
              </w:rPr>
              <w:t xml:space="preserve">in O.2 </w:t>
            </w:r>
            <w:r w:rsidRPr="0047182E">
              <w:rPr>
                <w:noProof/>
              </w:rPr>
              <w:t>now incorporates references to both S&amp;F Monitoring List and S&amp;F Wait Timer to illustrate how these parameters could be used in such type of S&amp;F system deployments.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9C23F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Expand NOTE 1 to indicate that the subset of MME-onboard(s) where the UE context is uploaded is provided to the UE via the S&amp;F monitoring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6896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The relation between the subset of MME-onboard(s) and the S&amp;F Monitoring List for the split MME architecture is not properly captured in the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F32A8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D380E8" w:rsidR="008863B9" w:rsidRDefault="00F43B9C">
            <w:pPr>
              <w:pStyle w:val="CRCoverPage"/>
              <w:spacing w:after="0"/>
              <w:ind w:left="100"/>
              <w:rPr>
                <w:noProof/>
              </w:rPr>
            </w:pPr>
            <w:r w:rsidRPr="00F43B9C">
              <w:rPr>
                <w:noProof/>
              </w:rPr>
              <w:t>S2-2506458</w:t>
            </w:r>
            <w:r w:rsidR="00AA459D">
              <w:rPr>
                <w:noProof/>
              </w:rPr>
              <w:t>, S2-2508933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7D38" w14:textId="77777777" w:rsidR="0047182E" w:rsidRDefault="0047182E" w:rsidP="0047182E"/>
    <w:p w14:paraId="58B1B977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bookmarkStart w:id="1" w:name="_heading=h.koccsnh4vm9g" w:colFirst="0" w:colLast="0"/>
      <w:bookmarkEnd w:id="1"/>
      <w:r>
        <w:rPr>
          <w:rFonts w:ascii="Arial" w:eastAsia="Arial" w:hAnsi="Arial" w:cs="Arial"/>
          <w:color w:val="FF0000"/>
          <w:sz w:val="28"/>
          <w:szCs w:val="28"/>
        </w:rPr>
        <w:t>* * * * First change * * * *</w:t>
      </w:r>
    </w:p>
    <w:p w14:paraId="3524E831" w14:textId="77777777" w:rsidR="0047182E" w:rsidRDefault="0047182E" w:rsidP="0047182E"/>
    <w:p w14:paraId="63EC7119" w14:textId="77777777" w:rsidR="0047182E" w:rsidRDefault="0047182E" w:rsidP="0047182E">
      <w:pPr>
        <w:pStyle w:val="Heading1"/>
      </w:pPr>
      <w:bookmarkStart w:id="2" w:name="_heading=h.wqhv341arohl" w:colFirst="0" w:colLast="0"/>
      <w:bookmarkEnd w:id="2"/>
      <w:r>
        <w:t>O.2</w:t>
      </w:r>
      <w:r>
        <w:tab/>
        <w:t>Model A: Split MME architecture</w:t>
      </w:r>
    </w:p>
    <w:p w14:paraId="00BBA8FF" w14:textId="77777777" w:rsidR="0047182E" w:rsidRDefault="0047182E" w:rsidP="0047182E">
      <w:r>
        <w:t>In this architecture option (see Figure O.2-1):</w:t>
      </w:r>
    </w:p>
    <w:p w14:paraId="3A4EFB1B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is onboard the satellite.</w:t>
      </w:r>
    </w:p>
    <w:p w14:paraId="030404B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MME is split into two functions:</w:t>
      </w:r>
    </w:p>
    <w:p w14:paraId="4C34BC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ab/>
        <w:t xml:space="preserve">MME-onboard: the MME part which is onboard the satellite. MME-onboard </w:t>
      </w:r>
      <w:proofErr w:type="gramStart"/>
      <w:r>
        <w:rPr>
          <w:color w:val="000000"/>
        </w:rPr>
        <w:t>is in charge of</w:t>
      </w:r>
      <w:proofErr w:type="gramEnd"/>
      <w:r>
        <w:rPr>
          <w:color w:val="000000"/>
        </w:rPr>
        <w:t xml:space="preserve"> (1) handling the S1 interface with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and (2) handling the NAS protocol signalling from/to UEs via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>.</w:t>
      </w:r>
    </w:p>
    <w:p w14:paraId="1E4302B7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ab/>
        <w:t xml:space="preserve">MME-ground: the MME part which is on the ground network. MME-ground </w:t>
      </w:r>
      <w:proofErr w:type="gramStart"/>
      <w:r>
        <w:rPr>
          <w:color w:val="000000"/>
        </w:rPr>
        <w:t>is in charge of</w:t>
      </w:r>
      <w:proofErr w:type="gramEnd"/>
      <w:r>
        <w:rPr>
          <w:color w:val="000000"/>
        </w:rPr>
        <w:t xml:space="preserve"> handling the rest of interfaces towards other CN functions (e.g. S6a towards HSS, </w:t>
      </w:r>
      <w:proofErr w:type="spellStart"/>
      <w:r>
        <w:rPr>
          <w:color w:val="000000"/>
        </w:rPr>
        <w:t>SGd</w:t>
      </w:r>
      <w:proofErr w:type="spellEnd"/>
      <w:r>
        <w:rPr>
          <w:color w:val="000000"/>
        </w:rPr>
        <w:t xml:space="preserve"> towards SMS-GMSC/IWMSC /SMS Router, T6a towards SCEF, T6ai towards IWF-SCEF, S11 towards SGW).</w:t>
      </w:r>
    </w:p>
    <w:p w14:paraId="0BCBF7EE" w14:textId="77777777" w:rsidR="0047182E" w:rsidRDefault="00DE3394" w:rsidP="0047182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noProof/>
          <w:color w:val="000000"/>
        </w:rPr>
        <w:object w:dxaOrig="9420" w:dyaOrig="5010" w14:anchorId="29A55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2pt;height:250.6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22045100" r:id="rId10"/>
        </w:object>
      </w:r>
    </w:p>
    <w:p w14:paraId="2AF329F2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Figure O.2-1: "Split-MME" architecture for supporting Store and Forward Satellite operation for SMS and CP CIoT services</w:t>
      </w:r>
    </w:p>
    <w:p w14:paraId="4D9D0380" w14:textId="77777777" w:rsidR="0047182E" w:rsidRDefault="0047182E" w:rsidP="0047182E">
      <w:r>
        <w:t>The split-MME architecture has below principles:</w:t>
      </w:r>
    </w:p>
    <w:p w14:paraId="1B9C367F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52E3565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How MME-onboard(s) interacts with MME-ground and how synchronization of the UE context between them is done is outside the scope of 3GPP.</w:t>
      </w:r>
    </w:p>
    <w:p w14:paraId="76733365" w14:textId="511B99D4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t>NOTE 1:</w:t>
      </w:r>
      <w:r>
        <w:rPr>
          <w:color w:val="000000"/>
        </w:rPr>
        <w:tab/>
        <w:t>Based on implementation, the UE context can be uploaded on a subset of MME-onboard(s) or all MME-onboard(s) associated with MME-ground.</w:t>
      </w:r>
      <w:sdt>
        <w:sdtPr>
          <w:tag w:val="goog_rdk_23"/>
          <w:id w:val="146801574"/>
        </w:sdtPr>
        <w:sdtContent>
          <w:ins w:id="3" w:author="Thierry Bérisot" w:date="2025-10-15T12:20:00Z" w16du:dateUtc="2025-10-15T04:20:00Z">
            <w:r w:rsidR="0000797D">
              <w:t xml:space="preserve"> </w:t>
            </w:r>
          </w:ins>
          <w:ins w:id="4" w:author="Thierry Bérisot" w:date="2025-10-15T12:19:00Z" w16du:dateUtc="2025-10-15T04:19:00Z">
            <w:r w:rsidR="0000797D" w:rsidRPr="0000797D">
              <w:rPr>
                <w:color w:val="000000"/>
              </w:rPr>
              <w:t xml:space="preserve">This subset of MME-onboard(s) </w:t>
            </w:r>
          </w:ins>
          <w:ins w:id="5" w:author="Thierry Bérisot" w:date="2025-10-15T14:41:00Z" w16du:dateUtc="2025-10-15T06:41:00Z">
            <w:r w:rsidR="004D5474">
              <w:rPr>
                <w:color w:val="000000"/>
              </w:rPr>
              <w:t>can be</w:t>
            </w:r>
          </w:ins>
          <w:ins w:id="6" w:author="Thierry Bérisot" w:date="2025-10-15T12:19:00Z" w16du:dateUtc="2025-10-15T04:19:00Z">
            <w:r w:rsidR="0000797D" w:rsidRPr="0000797D">
              <w:rPr>
                <w:color w:val="000000"/>
              </w:rPr>
              <w:t xml:space="preserve"> indicated to the UE via the S&amp;F Monitoring List (see clause 4.13.9.1)</w:t>
            </w:r>
          </w:ins>
          <w:ins w:id="7" w:author="Thierry Bérisot" w:date="2025-10-15T12:21:00Z" w16du:dateUtc="2025-10-15T04:21:00Z">
            <w:r w:rsidR="0000797D">
              <w:rPr>
                <w:color w:val="000000"/>
              </w:rPr>
              <w:t>.</w:t>
            </w:r>
          </w:ins>
          <w:ins w:id="8" w:author="Thierry Bérisot" w:date="2025-10-15T12:20:00Z" w16du:dateUtc="2025-10-15T04:20:00Z">
            <w:r w:rsidR="0000797D" w:rsidDel="0000797D">
              <w:rPr>
                <w:color w:val="000000"/>
              </w:rPr>
              <w:t xml:space="preserve"> </w:t>
            </w:r>
          </w:ins>
        </w:sdtContent>
      </w:sdt>
    </w:p>
    <w:p w14:paraId="3C879EF4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t>NOTE 2:</w:t>
      </w:r>
      <w:r>
        <w:rPr>
          <w:color w:val="000000"/>
        </w:rPr>
        <w:tab/>
        <w:t xml:space="preserve">As a deployment option, the S&amp;F Wait Timer (see clause 4.13.9.1) </w:t>
      </w:r>
      <w:proofErr w:type="gramStart"/>
      <w:r>
        <w:rPr>
          <w:color w:val="000000"/>
        </w:rPr>
        <w:t>takes into account</w:t>
      </w:r>
      <w:proofErr w:type="gramEnd"/>
      <w:r>
        <w:rPr>
          <w:color w:val="000000"/>
        </w:rPr>
        <w:t xml:space="preserve"> the time to synchronize the UE context between MME-ground and MME-onboard(s) </w:t>
      </w:r>
    </w:p>
    <w:p w14:paraId="39E9DAD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lastRenderedPageBreak/>
        <w:t>3.</w:t>
      </w:r>
      <w:r>
        <w:rPr>
          <w:color w:val="000000"/>
        </w:rP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B7C7E8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The MO data is stored in the MME-onboard when the service link is available and the feeder link is </w:t>
      </w:r>
      <w:proofErr w:type="gramStart"/>
      <w:r>
        <w:rPr>
          <w:color w:val="000000"/>
        </w:rPr>
        <w:t>unavailable, and</w:t>
      </w:r>
      <w:proofErr w:type="gramEnd"/>
      <w:r>
        <w:rPr>
          <w:color w:val="000000"/>
        </w:rPr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>
        <w:rPr>
          <w:color w:val="000000"/>
        </w:rPr>
        <w:t>data</w:t>
      </w:r>
      <w:proofErr w:type="gramEnd"/>
      <w:r>
        <w:rPr>
          <w:color w:val="000000"/>
        </w:rPr>
        <w:t xml:space="preserve"> and the MT data is sent to the respective MME-onboard and stored in the MME-onboard when the feeder link is </w:t>
      </w:r>
      <w:proofErr w:type="gramStart"/>
      <w:r>
        <w:rPr>
          <w:color w:val="000000"/>
        </w:rPr>
        <w:t>available, and</w:t>
      </w:r>
      <w:proofErr w:type="gramEnd"/>
      <w:r>
        <w:rPr>
          <w:color w:val="000000"/>
        </w:rPr>
        <w:t xml:space="preserve"> transferred to the UE when service link becomes available.</w:t>
      </w:r>
    </w:p>
    <w:p w14:paraId="520E215C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0322A1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  <w:t>To support UE location verification on satellite, the E-SMLC, if needed, can be deployed on satellite to perform the verification of UE location functionality.</w:t>
      </w:r>
    </w:p>
    <w:p w14:paraId="62AD1909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25A65BF8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  <w:t>For data transfer, only Control Plane CIoT EPS Optimization applies.</w:t>
      </w:r>
    </w:p>
    <w:p w14:paraId="7A23009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  <w:t>During attach procedure, if a UE indicated Control Plane CIoT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2BD9EC2F" w14:textId="77777777" w:rsidR="0047182E" w:rsidRDefault="0047182E" w:rsidP="0047182E"/>
    <w:p w14:paraId="62468663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color w:val="FF0000"/>
          <w:sz w:val="28"/>
          <w:szCs w:val="28"/>
        </w:rPr>
        <w:t>* * * * End of changes * * * *</w:t>
      </w:r>
    </w:p>
    <w:p w14:paraId="469E7076" w14:textId="77777777" w:rsidR="0047182E" w:rsidRDefault="0047182E" w:rsidP="0047182E"/>
    <w:p w14:paraId="474D394E" w14:textId="77777777" w:rsidR="0047182E" w:rsidRDefault="0047182E" w:rsidP="0047182E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A9BFA" w14:textId="77777777" w:rsidR="00DE3394" w:rsidRDefault="00DE3394">
      <w:r>
        <w:separator/>
      </w:r>
    </w:p>
  </w:endnote>
  <w:endnote w:type="continuationSeparator" w:id="0">
    <w:p w14:paraId="4BAE36DE" w14:textId="77777777" w:rsidR="00DE3394" w:rsidRDefault="00DE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5104" w14:textId="77777777" w:rsidR="00DE3394" w:rsidRDefault="00DE3394">
      <w:r>
        <w:separator/>
      </w:r>
    </w:p>
  </w:footnote>
  <w:footnote w:type="continuationSeparator" w:id="0">
    <w:p w14:paraId="323C404E" w14:textId="77777777" w:rsidR="00DE3394" w:rsidRDefault="00DE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C4863" w14:textId="77777777" w:rsidR="00B374F0" w:rsidRDefault="00B374F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E40D5" w14:textId="77777777" w:rsidR="00B374F0" w:rsidRDefault="009673D1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CE1B7" w14:textId="77777777" w:rsidR="00B374F0" w:rsidRDefault="00B374F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7D"/>
    <w:rsid w:val="00022E4A"/>
    <w:rsid w:val="00070E09"/>
    <w:rsid w:val="000A6394"/>
    <w:rsid w:val="000B7FED"/>
    <w:rsid w:val="000C038A"/>
    <w:rsid w:val="000C6598"/>
    <w:rsid w:val="000D44B3"/>
    <w:rsid w:val="0012408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A5F"/>
    <w:rsid w:val="003609EF"/>
    <w:rsid w:val="0036231A"/>
    <w:rsid w:val="00374DD4"/>
    <w:rsid w:val="003A6B41"/>
    <w:rsid w:val="003E1A36"/>
    <w:rsid w:val="00410371"/>
    <w:rsid w:val="0041475F"/>
    <w:rsid w:val="004242F1"/>
    <w:rsid w:val="00447BA0"/>
    <w:rsid w:val="0047182E"/>
    <w:rsid w:val="004954C6"/>
    <w:rsid w:val="004A38AE"/>
    <w:rsid w:val="004B75B7"/>
    <w:rsid w:val="004D5474"/>
    <w:rsid w:val="005141D9"/>
    <w:rsid w:val="0051580D"/>
    <w:rsid w:val="00547111"/>
    <w:rsid w:val="00592D74"/>
    <w:rsid w:val="005D1B6E"/>
    <w:rsid w:val="005E2C44"/>
    <w:rsid w:val="00606151"/>
    <w:rsid w:val="00621188"/>
    <w:rsid w:val="006257ED"/>
    <w:rsid w:val="00653DE4"/>
    <w:rsid w:val="00663F07"/>
    <w:rsid w:val="00665C47"/>
    <w:rsid w:val="00695808"/>
    <w:rsid w:val="006B46FB"/>
    <w:rsid w:val="006E21FB"/>
    <w:rsid w:val="006F3D1E"/>
    <w:rsid w:val="00702A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D"/>
    <w:rsid w:val="008863B9"/>
    <w:rsid w:val="008A45A6"/>
    <w:rsid w:val="008D3CCC"/>
    <w:rsid w:val="008F3789"/>
    <w:rsid w:val="008F686C"/>
    <w:rsid w:val="009148DE"/>
    <w:rsid w:val="00941E30"/>
    <w:rsid w:val="009531B0"/>
    <w:rsid w:val="009673D1"/>
    <w:rsid w:val="0097404B"/>
    <w:rsid w:val="009741B3"/>
    <w:rsid w:val="009777D9"/>
    <w:rsid w:val="00991B88"/>
    <w:rsid w:val="009A5753"/>
    <w:rsid w:val="009A579D"/>
    <w:rsid w:val="009E3297"/>
    <w:rsid w:val="009F734F"/>
    <w:rsid w:val="00A246B6"/>
    <w:rsid w:val="00A35D51"/>
    <w:rsid w:val="00A47E70"/>
    <w:rsid w:val="00A50CF0"/>
    <w:rsid w:val="00A7671C"/>
    <w:rsid w:val="00AA2CBC"/>
    <w:rsid w:val="00AA459D"/>
    <w:rsid w:val="00AA71FD"/>
    <w:rsid w:val="00AC5820"/>
    <w:rsid w:val="00AD1CD8"/>
    <w:rsid w:val="00B258BB"/>
    <w:rsid w:val="00B374F0"/>
    <w:rsid w:val="00B67B97"/>
    <w:rsid w:val="00B968C8"/>
    <w:rsid w:val="00BA3EC5"/>
    <w:rsid w:val="00BA51D9"/>
    <w:rsid w:val="00BB5DFC"/>
    <w:rsid w:val="00BD279D"/>
    <w:rsid w:val="00BD6BB8"/>
    <w:rsid w:val="00C641DE"/>
    <w:rsid w:val="00C66BA2"/>
    <w:rsid w:val="00C870F6"/>
    <w:rsid w:val="00C907B5"/>
    <w:rsid w:val="00C95985"/>
    <w:rsid w:val="00CC5026"/>
    <w:rsid w:val="00CC68D0"/>
    <w:rsid w:val="00CC77FC"/>
    <w:rsid w:val="00D03F9A"/>
    <w:rsid w:val="00D06D51"/>
    <w:rsid w:val="00D24991"/>
    <w:rsid w:val="00D50255"/>
    <w:rsid w:val="00D66520"/>
    <w:rsid w:val="00D84AE9"/>
    <w:rsid w:val="00D9124E"/>
    <w:rsid w:val="00DE3394"/>
    <w:rsid w:val="00DE34CF"/>
    <w:rsid w:val="00E13F3D"/>
    <w:rsid w:val="00E34898"/>
    <w:rsid w:val="00EB09B7"/>
    <w:rsid w:val="00EE7D7C"/>
    <w:rsid w:val="00F10944"/>
    <w:rsid w:val="00F25D98"/>
    <w:rsid w:val="00F300FB"/>
    <w:rsid w:val="00F33F83"/>
    <w:rsid w:val="00F370D2"/>
    <w:rsid w:val="00F43B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38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22</TotalTime>
  <Pages>3</Pages>
  <Words>1139</Words>
  <Characters>6014</Characters>
  <Application>Microsoft Office Word</Application>
  <DocSecurity>0</DocSecurity>
  <Lines>261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Bérisot</cp:lastModifiedBy>
  <cp:revision>7</cp:revision>
  <cp:lastPrinted>1899-12-31T23:59:17Z</cp:lastPrinted>
  <dcterms:created xsi:type="dcterms:W3CDTF">2025-10-15T06:18:00Z</dcterms:created>
  <dcterms:modified xsi:type="dcterms:W3CDTF">2025-10-15T06:49:00Z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S2-2506458</vt:lpwstr>
  </property>
  <property fmtid="{D5CDD505-2E9C-101B-9397-08002B2CF9AE}" pid="10" name="Spec#">
    <vt:lpwstr>23.401</vt:lpwstr>
  </property>
  <property fmtid="{D5CDD505-2E9C-101B-9397-08002B2CF9AE}" pid="11" name="Cr#">
    <vt:lpwstr>3932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 of the use of the S&amp;F Monitoring List in the split-MME architecture </vt:lpwstr>
  </property>
  <property fmtid="{D5CDD505-2E9C-101B-9397-08002B2CF9AE}" pid="15" name="SourceIfWg">
    <vt:lpwstr>Sateliot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